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80"/>
        </w:tabs>
        <w:rPr>
          <w:rFonts w:ascii="Century Gothic" w:cs="Tahoma" w:hAnsi="Century Gothic"/>
        </w:rPr>
      </w:pPr>
      <w:bookmarkStart w:id="0" w:name="_GoBack"/>
      <w:bookmarkEnd w:id="0"/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 xml:space="preserve">     </w:t>
      </w:r>
      <w:r>
        <w:rPr>
          <w:rFonts w:ascii="Century Gothic" w:cs="Tahoma" w:hAnsi="Century Gothic"/>
        </w:rPr>
        <w:t xml:space="preserve">             </w:t>
      </w:r>
    </w:p>
    <w:p>
      <w:pPr>
        <w:pStyle w:val="style0"/>
        <w:tabs>
          <w:tab w:val="left" w:leader="none" w:pos="180"/>
        </w:tabs>
        <w:rPr>
          <w:rFonts w:ascii="Century Gothic" w:cs="Tahoma" w:hAnsi="Century Gothic"/>
        </w:rPr>
      </w:pPr>
      <w:r>
        <w:rPr>
          <w:rFonts w:ascii="Century Gothic" w:cs="Tahoma" w:hAnsi="Century Gothic"/>
        </w:rPr>
        <w:t xml:space="preserve">         </w:t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  <w:r>
        <w:rPr>
          <w:noProof/>
        </w:rPr>
        <w:drawing>
          <wp:inline distL="0" distT="0" distB="0" distR="0">
            <wp:extent cx="2285120" cy="642025"/>
            <wp:effectExtent l="0" t="0" r="1270" b="571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5120" cy="6420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ab/>
      </w:r>
    </w:p>
    <w:p>
      <w:pPr>
        <w:pStyle w:val="style0"/>
        <w:tabs>
          <w:tab w:val="left" w:leader="none" w:pos="180"/>
        </w:tabs>
        <w:ind w:left="180"/>
        <w:rPr>
          <w:rFonts w:ascii="Century Gothic" w:cs="Tahoma" w:hAnsi="Century Gothic"/>
          <w:b/>
        </w:rPr>
      </w:pPr>
      <w:r>
        <w:rPr>
          <w:rFonts w:ascii="Century Gothic" w:cs="Tahoma" w:hAnsi="Century Gothic"/>
        </w:rPr>
        <w:tab/>
      </w:r>
      <w:r>
        <w:rPr>
          <w:rFonts w:ascii="Century Gothic" w:cs="Tahoma" w:hAnsi="Century Gothic"/>
        </w:rPr>
        <w:t xml:space="preserve">                                                     </w:t>
      </w:r>
      <w:r>
        <w:rPr>
          <w:rFonts w:ascii="Century Gothic" w:cs="Tahoma" w:hAnsi="Century Gothic"/>
        </w:rPr>
        <w:t xml:space="preserve">             </w:t>
      </w:r>
      <w:r>
        <w:rPr>
          <w:rFonts w:ascii="Century Gothic" w:cs="Tahoma" w:hAnsi="Century Gothic"/>
        </w:rPr>
        <w:t xml:space="preserve"> </w:t>
      </w:r>
      <w:r>
        <w:rPr>
          <w:rFonts w:ascii="Century Gothic" w:cs="Tahoma" w:hAnsi="Century Gothic"/>
          <w:b/>
        </w:rPr>
        <w:t>REPUBLIC OF MALAWI</w:t>
      </w:r>
    </w:p>
    <w:p>
      <w:pPr>
        <w:pStyle w:val="style0"/>
        <w:tabs>
          <w:tab w:val="left" w:leader="none" w:pos="180"/>
        </w:tabs>
        <w:rPr>
          <w:rFonts w:ascii="Century Gothic" w:cs="Tahoma" w:hAnsi="Century Gothic"/>
        </w:rPr>
      </w:pPr>
      <w:r>
        <w:rPr>
          <w:rFonts w:ascii="Century Gothic" w:cs="Tahoma" w:hAnsi="Century Gothic"/>
        </w:rPr>
        <w:t xml:space="preserve">                                                </w:t>
      </w:r>
      <w:r>
        <w:rPr>
          <w:rFonts w:ascii="Century Gothic" w:cs="Tahoma" w:hAnsi="Century Gothic"/>
        </w:rPr>
        <w:t xml:space="preserve">                  </w:t>
      </w:r>
      <w:r>
        <w:rPr>
          <w:rFonts w:ascii="Century Gothic" w:cs="Tahoma" w:hAnsi="Century Gothic"/>
        </w:rPr>
        <w:t xml:space="preserve">     </w:t>
      </w:r>
      <w:r>
        <w:rPr>
          <w:rFonts w:ascii="Century Gothic" w:hAnsi="Century Gothic"/>
          <w:b/>
        </w:rPr>
        <w:t>IN THE HIGH COURT OF MALAWI</w:t>
      </w: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</w:t>
      </w:r>
      <w:r>
        <w:rPr>
          <w:rFonts w:ascii="Century Gothic" w:hAnsi="Century Gothic"/>
          <w:b/>
        </w:rPr>
        <w:t xml:space="preserve">                       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</w:t>
      </w:r>
      <w:r>
        <w:rPr>
          <w:rFonts w:ascii="Century Gothic" w:hAnsi="Century Gothic"/>
          <w:b/>
        </w:rPr>
        <w:t>MZUZU REGISTRY-CRIMINA</w:t>
      </w:r>
      <w:r>
        <w:rPr>
          <w:rFonts w:hAnsi="Century Gothic"/>
          <w:b/>
          <w:lang w:val="en-US"/>
        </w:rPr>
        <w:t>L</w:t>
      </w:r>
      <w:r>
        <w:rPr>
          <w:rFonts w:ascii="Century Gothic" w:hAnsi="Century Gothic"/>
          <w:b/>
        </w:rPr>
        <w:t xml:space="preserve"> DIVISION</w:t>
      </w: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</w:t>
      </w:r>
      <w:r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RICHARD BANDA SITTING- 2024</w:t>
      </w: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                                                                  </w:t>
      </w:r>
    </w:p>
    <w:p>
      <w:pPr>
        <w:pStyle w:val="style0"/>
        <w:rPr>
          <w:b/>
        </w:rPr>
      </w:pPr>
      <w:r>
        <w:rPr>
          <w:b/>
        </w:rPr>
        <w:t xml:space="preserve">       </w:t>
      </w:r>
      <w:r>
        <w:rPr>
          <w:b/>
        </w:rPr>
        <w:t>MZUZU CAUS</w:t>
      </w:r>
      <w:r>
        <w:rPr>
          <w:b/>
        </w:rPr>
        <w:t>E LIST FOR THE MONTH OF APRIL TO MAY</w:t>
      </w:r>
      <w:r>
        <w:rPr>
          <w:b/>
        </w:rPr>
        <w:t xml:space="preserve"> BEFO</w:t>
      </w:r>
      <w:r>
        <w:rPr>
          <w:b/>
        </w:rPr>
        <w:t>RE</w:t>
      </w:r>
      <w:r>
        <w:rPr>
          <w:b/>
        </w:rPr>
        <w:t xml:space="preserve"> JUSTICE J.A KISHINDO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1170"/>
        <w:gridCol w:w="1668"/>
        <w:gridCol w:w="2160"/>
        <w:gridCol w:w="2250"/>
        <w:gridCol w:w="1913"/>
      </w:tblGrid>
      <w:tr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S/NO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DATE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TIME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CASE NO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ACCUSED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STATUS OF  CASE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  <w:r>
              <w:t>REMAKS</w:t>
            </w: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12/4/24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19 of 2024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John Wakisa Mwakisambo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Bail application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29/4/24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Criminal  no 4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 xml:space="preserve">Ellen Khaula 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Review of proceedings before the lower court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29/4/24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 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number 45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Macdonald Ng’ambi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Hearing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29/4/24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number 76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Reuben Khosa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 Hearing</w:t>
            </w:r>
            <w:r>
              <w:t xml:space="preserve">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30/4/24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number 54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Josephy Msiska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Hearing of an apppeal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30/4/24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 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Hom. number 6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Andrew Mthanga Mackenzie</w:t>
            </w:r>
          </w:p>
          <w:p>
            <w:pPr>
              <w:pStyle w:val="style0"/>
              <w:rPr/>
            </w:pPr>
            <w:r>
              <w:t>Genesis Mkhala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Plea and trial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30/4/24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 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number 41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Benson Ngonya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</w:t>
            </w:r>
            <w:r>
              <w:t>earing</w:t>
            </w:r>
            <w:r>
              <w:t xml:space="preserve">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02/4/24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</w:t>
            </w:r>
            <w:r>
              <w:t>.</w:t>
            </w:r>
            <w:r>
              <w:t>.number 733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Happy Mulenga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2/5</w:t>
            </w:r>
            <w:r>
              <w:t>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case number 19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Victor Ndovi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Hearing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02/5</w:t>
            </w:r>
            <w:r>
              <w:t>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Conf.number 602 of 2018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Vitumbiko Ng’ambi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 C</w:t>
            </w:r>
            <w:r>
              <w:t>onsider</w:t>
            </w:r>
            <w:r>
              <w:t xml:space="preserve"> propriety of</w:t>
            </w:r>
            <w:r>
              <w:t xml:space="preserve"> conviction and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02/5/24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number 18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F</w:t>
            </w:r>
            <w:r>
              <w:t>elix</w:t>
            </w:r>
            <w:r>
              <w:t xml:space="preserve"> Mwakileka</w:t>
            </w:r>
          </w:p>
          <w:p>
            <w:pPr>
              <w:pStyle w:val="style0"/>
              <w:rPr/>
            </w:pPr>
            <w:r>
              <w:t>Patrick Phiri</w:t>
            </w:r>
          </w:p>
          <w:p>
            <w:pPr>
              <w:pStyle w:val="style0"/>
              <w:rPr/>
            </w:pPr>
            <w:r>
              <w:t>Richard Mtambo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Hearing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12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03/5/24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 xml:space="preserve"> </w:t>
            </w:r>
            <w:r>
              <w:t>Conf. case number 64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Emmanuel Ng’ambi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13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03/5/24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</w:t>
            </w:r>
            <w:r>
              <w:t xml:space="preserve"> number 733of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Zakeyu Banda</w:t>
            </w:r>
          </w:p>
          <w:p>
            <w:pPr>
              <w:pStyle w:val="style0"/>
              <w:rPr/>
            </w:pPr>
            <w:r>
              <w:t>Davie vilijembe Munthali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Hearing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14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O3/5/24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Appeal number 30 of 2023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John Bamusi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Hearing of an appeal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15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03/5/24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675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Reuben Mwakwakwa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</w:t>
            </w:r>
            <w:r>
              <w:t>onsider enhancement</w:t>
            </w:r>
            <w:r>
              <w:t xml:space="preserve">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16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Conf.number 2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Allison Mwazembe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 Consider </w:t>
            </w:r>
            <w:r>
              <w:t>Enhancement</w:t>
            </w:r>
            <w:r>
              <w:t xml:space="preserve">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17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665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Mathews Kalua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propriety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18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13/5/24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 xml:space="preserve">Conf. </w:t>
            </w:r>
            <w:r>
              <w:t>nu</w:t>
            </w:r>
            <w:r>
              <w:t>mber 27of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Dan Loja Mkandawire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 Consider </w:t>
            </w:r>
            <w:r>
              <w:t>Enhancement</w:t>
            </w:r>
            <w:r>
              <w:t xml:space="preserve"> of sentence</w:t>
            </w:r>
            <w:r>
              <w:t xml:space="preserve"> 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19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15/5/24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615 of 2020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Ackim Innocent kileka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 C</w:t>
            </w:r>
            <w:r>
              <w:t>onsider the propriety of dismissing the charges.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20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15/5/24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14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Gibson  Sato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 Consider </w:t>
            </w:r>
            <w:r>
              <w:t>Enhancement 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21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15/5/24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</w:t>
            </w:r>
            <w:r>
              <w:t>667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Robert Mhone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propriety of the conviction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22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16/5/24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735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Malo Msukwa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23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16/5/24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Hom. Number 14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Archie Munthali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Ruling on case to answer or not.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24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16/5/24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1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Nicholas Silumbu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</w:t>
            </w:r>
            <w:r>
              <w:t xml:space="preserve">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25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17</w:t>
            </w:r>
            <w:r>
              <w:t>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11/2022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Akubali Chilongo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26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17</w:t>
            </w:r>
            <w:r>
              <w:t>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9;00am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163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 xml:space="preserve"> Steve Moyenda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propriety of the conviction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27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17/5/24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550" w:type="dxa"/>
            <w:tcBorders/>
          </w:tcPr>
          <w:p>
            <w:pPr>
              <w:pStyle w:val="style0"/>
              <w:rPr/>
            </w:pPr>
            <w:r>
              <w:t>Conf. number 283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Austen Mwambene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Consider enhancement of </w:t>
            </w:r>
            <w:r>
              <w:t>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1170"/>
        <w:gridCol w:w="1440"/>
        <w:gridCol w:w="2160"/>
        <w:gridCol w:w="2250"/>
        <w:gridCol w:w="1913"/>
      </w:tblGrid>
      <w:tr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28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27</w:t>
            </w:r>
            <w:r>
              <w:t>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Conf. number 87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Chikondi Msowoya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29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27</w:t>
            </w:r>
            <w:r>
              <w:t>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Conf. number 32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Boston Kampange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 xml:space="preserve">Consider the propriety of imposing a fine for the offence charged. 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30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27</w:t>
            </w:r>
            <w:r>
              <w:t>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Conf. number 72 of 2021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Benjamin Kamanga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85" w:type="dxa"/>
            <w:tcBorders/>
          </w:tcPr>
          <w:p>
            <w:pPr>
              <w:pStyle w:val="style0"/>
              <w:rPr/>
            </w:pPr>
            <w:r>
              <w:t>31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/>
            </w:pPr>
            <w:r>
              <w:t>27</w:t>
            </w:r>
            <w:r>
              <w:t>/5/24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t>9:00am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Conf. number 3 of 2022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Lackson Sanga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/>
            </w:pPr>
            <w:r>
              <w:t>Consider enhancement of sentence</w:t>
            </w:r>
          </w:p>
        </w:tc>
        <w:tc>
          <w:tcPr>
            <w:tcW w:w="1913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PREPARED BY: KELVIN THADZI</w:t>
      </w:r>
      <w:r>
        <w:rPr>
          <w:b/>
        </w:rPr>
        <w:t>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FOR: THE REGISTRAR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748f71c1-376c-4efc-9279-3ee0175a95ab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eaf7b8aa-969a-48bb-a29d-d1a887948ca0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eastAsia="Times New Roman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504</Words>
  <Pages>4</Pages>
  <Characters>2604</Characters>
  <Application>WPS Office</Application>
  <DocSecurity>0</DocSecurity>
  <Paragraphs>286</Paragraphs>
  <ScaleCrop>false</ScaleCrop>
  <LinksUpToDate>false</LinksUpToDate>
  <CharactersWithSpaces>3279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2024-04-11T02:02:00Z</dcterms:created>
  <dc:creator>CIVIL</dc:creator>
  <lastModifiedBy>TECNO LE6</lastModifiedBy>
  <lastPrinted>2024-04-11T01:59:00Z</lastPrinted>
  <dcterms:modified xsi:type="dcterms:W3CDTF">2024-04-10T12:31:13Z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06489cd99bd94cbd9d491b5bdf32b9fb</vt:lpwstr>
  </property>
</Properties>
</file>