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46128D" w14:textId="77777777" w:rsidR="00D00431" w:rsidRDefault="00D20C04">
      <w:pPr>
        <w:tabs>
          <w:tab w:val="center" w:pos="365"/>
          <w:tab w:val="center" w:pos="5067"/>
        </w:tabs>
        <w:spacing w:after="23" w:line="259" w:lineRule="auto"/>
        <w:ind w:left="0" w:right="0" w:firstLine="0"/>
        <w:jc w:val="left"/>
      </w:pPr>
      <w:r>
        <w:rPr>
          <w:rFonts w:ascii="Calibri" w:eastAsia="Calibri" w:hAnsi="Calibri" w:cs="Calibri"/>
          <w:color w:val="000000"/>
          <w:sz w:val="22"/>
        </w:rPr>
        <w:tab/>
      </w:r>
      <w:r>
        <w:rPr>
          <w:color w:val="000000"/>
        </w:rPr>
        <w:t xml:space="preserve"> </w:t>
      </w:r>
      <w:r>
        <w:rPr>
          <w:color w:val="000000"/>
        </w:rPr>
        <w:tab/>
      </w:r>
      <w:r>
        <w:rPr>
          <w:noProof/>
        </w:rPr>
        <w:drawing>
          <wp:inline distT="0" distB="0" distL="0" distR="0" wp14:anchorId="6A0E3792" wp14:editId="3E76C563">
            <wp:extent cx="1266825" cy="1019175"/>
            <wp:effectExtent l="0" t="0" r="0" b="0"/>
            <wp:docPr id="168" name="Picture 168"/>
            <wp:cNvGraphicFramePr/>
            <a:graphic xmlns:a="http://schemas.openxmlformats.org/drawingml/2006/main">
              <a:graphicData uri="http://schemas.openxmlformats.org/drawingml/2006/picture">
                <pic:pic xmlns:pic="http://schemas.openxmlformats.org/drawingml/2006/picture">
                  <pic:nvPicPr>
                    <pic:cNvPr id="168" name="Picture 168"/>
                    <pic:cNvPicPr/>
                  </pic:nvPicPr>
                  <pic:blipFill>
                    <a:blip r:embed="rId5"/>
                    <a:stretch>
                      <a:fillRect/>
                    </a:stretch>
                  </pic:blipFill>
                  <pic:spPr>
                    <a:xfrm>
                      <a:off x="0" y="0"/>
                      <a:ext cx="1266825" cy="1019175"/>
                    </a:xfrm>
                    <a:prstGeom prst="rect">
                      <a:avLst/>
                    </a:prstGeom>
                  </pic:spPr>
                </pic:pic>
              </a:graphicData>
            </a:graphic>
          </wp:inline>
        </w:drawing>
      </w:r>
      <w:bookmarkStart w:id="0" w:name="_GoBack"/>
      <w:bookmarkEnd w:id="0"/>
    </w:p>
    <w:p w14:paraId="59429B04" w14:textId="77777777" w:rsidR="00D00431" w:rsidRDefault="00D20C04">
      <w:pPr>
        <w:spacing w:after="0" w:line="259" w:lineRule="auto"/>
        <w:ind w:left="372" w:right="0" w:hanging="10"/>
        <w:jc w:val="center"/>
      </w:pPr>
      <w:r>
        <w:rPr>
          <w:color w:val="000000"/>
        </w:rPr>
        <w:t>REPUBLIC OF MALAWI</w:t>
      </w:r>
      <w:r>
        <w:rPr>
          <w:b/>
          <w:color w:val="000000"/>
        </w:rPr>
        <w:t xml:space="preserve"> </w:t>
      </w:r>
    </w:p>
    <w:p w14:paraId="6B41C297" w14:textId="77777777" w:rsidR="00D00431" w:rsidRDefault="00D20C04">
      <w:pPr>
        <w:spacing w:after="0" w:line="259" w:lineRule="auto"/>
        <w:ind w:left="372" w:right="0" w:hanging="10"/>
        <w:jc w:val="center"/>
      </w:pPr>
      <w:r>
        <w:rPr>
          <w:color w:val="000000"/>
        </w:rPr>
        <w:t xml:space="preserve">JUDICIARY </w:t>
      </w:r>
    </w:p>
    <w:p w14:paraId="54D30866" w14:textId="77777777" w:rsidR="00D00431" w:rsidRDefault="00D20C04">
      <w:pPr>
        <w:spacing w:after="0" w:line="259" w:lineRule="auto"/>
        <w:ind w:left="372" w:right="4" w:hanging="10"/>
        <w:jc w:val="center"/>
      </w:pPr>
      <w:r>
        <w:rPr>
          <w:color w:val="000000"/>
        </w:rPr>
        <w:t xml:space="preserve">IN THE HIGH COURT OF MALAWI  </w:t>
      </w:r>
    </w:p>
    <w:p w14:paraId="3EF62053" w14:textId="1FA05CBD" w:rsidR="00D00431" w:rsidRDefault="00B55B1E">
      <w:pPr>
        <w:spacing w:after="0" w:line="259" w:lineRule="auto"/>
        <w:ind w:left="372" w:right="0" w:hanging="10"/>
        <w:jc w:val="center"/>
      </w:pPr>
      <w:r>
        <w:rPr>
          <w:color w:val="000000"/>
        </w:rPr>
        <w:t>LILONGWE</w:t>
      </w:r>
      <w:r w:rsidR="00726834">
        <w:rPr>
          <w:color w:val="000000"/>
        </w:rPr>
        <w:t xml:space="preserve"> DISTRICT</w:t>
      </w:r>
      <w:r w:rsidR="00D20C04">
        <w:rPr>
          <w:color w:val="000000"/>
        </w:rPr>
        <w:t xml:space="preserve"> REGISTRY </w:t>
      </w:r>
    </w:p>
    <w:p w14:paraId="0342DFE1" w14:textId="24D91BDD" w:rsidR="00D00431" w:rsidRDefault="00D20C04">
      <w:pPr>
        <w:spacing w:after="0" w:line="259" w:lineRule="auto"/>
        <w:ind w:left="372" w:right="2" w:hanging="10"/>
        <w:jc w:val="center"/>
      </w:pPr>
      <w:r>
        <w:rPr>
          <w:color w:val="000000"/>
        </w:rPr>
        <w:t xml:space="preserve">ELECTION CASE No. </w:t>
      </w:r>
      <w:r w:rsidR="007C27CF">
        <w:rPr>
          <w:color w:val="000000"/>
        </w:rPr>
        <w:t>12</w:t>
      </w:r>
      <w:r>
        <w:rPr>
          <w:color w:val="000000"/>
        </w:rPr>
        <w:t xml:space="preserve"> OF 2025 </w:t>
      </w:r>
    </w:p>
    <w:p w14:paraId="37937868" w14:textId="77777777" w:rsidR="00D00431" w:rsidRDefault="00D20C04">
      <w:pPr>
        <w:spacing w:after="0" w:line="259" w:lineRule="auto"/>
        <w:ind w:left="365" w:right="0" w:firstLine="0"/>
        <w:jc w:val="left"/>
      </w:pPr>
      <w:r>
        <w:rPr>
          <w:i/>
          <w:color w:val="000000"/>
        </w:rPr>
        <w:t xml:space="preserve"> </w:t>
      </w:r>
    </w:p>
    <w:p w14:paraId="2F7EF411" w14:textId="77777777" w:rsidR="00D00431" w:rsidRDefault="00D20C04">
      <w:pPr>
        <w:spacing w:after="0" w:line="259" w:lineRule="auto"/>
        <w:ind w:left="360" w:right="0" w:hanging="10"/>
        <w:jc w:val="left"/>
      </w:pPr>
      <w:r>
        <w:rPr>
          <w:i/>
          <w:color w:val="000000"/>
        </w:rPr>
        <w:t xml:space="preserve">BETWEEN: </w:t>
      </w:r>
    </w:p>
    <w:p w14:paraId="34660931" w14:textId="77777777" w:rsidR="00D00431" w:rsidRDefault="00D20C04">
      <w:pPr>
        <w:spacing w:after="0" w:line="259" w:lineRule="auto"/>
        <w:ind w:left="365" w:right="0" w:firstLine="0"/>
        <w:jc w:val="left"/>
      </w:pPr>
      <w:r>
        <w:rPr>
          <w:i/>
          <w:color w:val="000000"/>
        </w:rPr>
        <w:t xml:space="preserve"> </w:t>
      </w:r>
    </w:p>
    <w:p w14:paraId="497B6E8C" w14:textId="7BB1FE1A" w:rsidR="00D00431" w:rsidRDefault="007C27CF">
      <w:pPr>
        <w:tabs>
          <w:tab w:val="center" w:pos="2143"/>
          <w:tab w:val="center" w:pos="4686"/>
          <w:tab w:val="center" w:pos="5406"/>
          <w:tab w:val="center" w:pos="6126"/>
          <w:tab w:val="center" w:pos="7624"/>
        </w:tabs>
        <w:spacing w:after="0" w:line="259" w:lineRule="auto"/>
        <w:ind w:left="0" w:right="0" w:firstLine="0"/>
        <w:jc w:val="left"/>
      </w:pPr>
      <w:r>
        <w:rPr>
          <w:b/>
          <w:color w:val="000000"/>
        </w:rPr>
        <w:t>DAVID P BANDA</w:t>
      </w:r>
      <w:r w:rsidR="00D20C04">
        <w:rPr>
          <w:b/>
          <w:color w:val="000000"/>
        </w:rPr>
        <w:tab/>
        <w:t xml:space="preserve"> </w:t>
      </w:r>
      <w:r w:rsidR="00D20C04">
        <w:rPr>
          <w:b/>
          <w:color w:val="000000"/>
        </w:rPr>
        <w:tab/>
        <w:t xml:space="preserve"> </w:t>
      </w:r>
      <w:r w:rsidR="00D20C04">
        <w:rPr>
          <w:b/>
          <w:color w:val="000000"/>
        </w:rPr>
        <w:tab/>
        <w:t xml:space="preserve"> </w:t>
      </w:r>
      <w:r w:rsidR="00D20C04">
        <w:rPr>
          <w:b/>
          <w:color w:val="000000"/>
        </w:rPr>
        <w:tab/>
      </w:r>
      <w:r w:rsidR="008A7327">
        <w:rPr>
          <w:b/>
          <w:color w:val="000000"/>
        </w:rPr>
        <w:tab/>
      </w:r>
      <w:r w:rsidR="00D20C04">
        <w:rPr>
          <w:b/>
          <w:color w:val="000000"/>
        </w:rPr>
        <w:t xml:space="preserve">CLAIMANT </w:t>
      </w:r>
    </w:p>
    <w:p w14:paraId="1F4CD138" w14:textId="73373422" w:rsidR="00D00431" w:rsidRDefault="00C12C6C">
      <w:pPr>
        <w:spacing w:after="0" w:line="259" w:lineRule="auto"/>
        <w:ind w:left="360" w:right="0" w:hanging="10"/>
        <w:jc w:val="left"/>
      </w:pPr>
      <w:r>
        <w:rPr>
          <w:b/>
          <w:color w:val="000000"/>
        </w:rPr>
        <w:t xml:space="preserve">      </w:t>
      </w:r>
      <w:r>
        <w:rPr>
          <w:b/>
          <w:color w:val="000000"/>
        </w:rPr>
        <w:tab/>
      </w:r>
      <w:r>
        <w:rPr>
          <w:b/>
          <w:color w:val="000000"/>
        </w:rPr>
        <w:tab/>
      </w:r>
      <w:r>
        <w:rPr>
          <w:b/>
          <w:color w:val="000000"/>
        </w:rPr>
        <w:tab/>
      </w:r>
      <w:r>
        <w:rPr>
          <w:b/>
          <w:color w:val="000000"/>
        </w:rPr>
        <w:tab/>
      </w:r>
      <w:r>
        <w:rPr>
          <w:b/>
          <w:color w:val="000000"/>
        </w:rPr>
        <w:tab/>
      </w:r>
      <w:r w:rsidR="00D20C04">
        <w:rPr>
          <w:b/>
          <w:color w:val="000000"/>
        </w:rPr>
        <w:t xml:space="preserve">AND </w:t>
      </w:r>
    </w:p>
    <w:p w14:paraId="61031B72" w14:textId="28BD1837" w:rsidR="00D00431" w:rsidRDefault="009A3CC8">
      <w:pPr>
        <w:tabs>
          <w:tab w:val="center" w:pos="2310"/>
          <w:tab w:val="center" w:pos="4686"/>
          <w:tab w:val="center" w:pos="5406"/>
          <w:tab w:val="center" w:pos="6126"/>
          <w:tab w:val="center" w:pos="7933"/>
        </w:tabs>
        <w:spacing w:after="0" w:line="259" w:lineRule="auto"/>
        <w:ind w:left="0" w:right="0" w:firstLine="0"/>
        <w:jc w:val="left"/>
      </w:pPr>
      <w:r>
        <w:rPr>
          <w:b/>
          <w:color w:val="000000"/>
        </w:rPr>
        <w:t xml:space="preserve">ATTORNEY GENERAL </w:t>
      </w:r>
      <w:r w:rsidR="00D20C04">
        <w:rPr>
          <w:b/>
          <w:color w:val="000000"/>
        </w:rPr>
        <w:tab/>
        <w:t xml:space="preserve"> </w:t>
      </w:r>
      <w:r w:rsidR="00D20C04">
        <w:rPr>
          <w:b/>
          <w:color w:val="000000"/>
        </w:rPr>
        <w:tab/>
        <w:t xml:space="preserve"> </w:t>
      </w:r>
      <w:r w:rsidR="00D20C04">
        <w:rPr>
          <w:b/>
          <w:color w:val="000000"/>
        </w:rPr>
        <w:tab/>
        <w:t xml:space="preserve"> </w:t>
      </w:r>
      <w:r w:rsidR="008A7327">
        <w:rPr>
          <w:b/>
          <w:color w:val="000000"/>
        </w:rPr>
        <w:t xml:space="preserve">                                  </w:t>
      </w:r>
      <w:r w:rsidR="00D20C04">
        <w:rPr>
          <w:b/>
          <w:color w:val="000000"/>
        </w:rPr>
        <w:t xml:space="preserve">DEFENDANT </w:t>
      </w:r>
    </w:p>
    <w:p w14:paraId="4F40D6E7" w14:textId="075085FE" w:rsidR="00D00431" w:rsidRDefault="00D20C04">
      <w:pPr>
        <w:tabs>
          <w:tab w:val="center" w:pos="3311"/>
          <w:tab w:val="center" w:pos="7923"/>
        </w:tabs>
        <w:spacing w:after="0" w:line="259" w:lineRule="auto"/>
        <w:ind w:left="0" w:right="0" w:firstLine="0"/>
        <w:jc w:val="left"/>
      </w:pPr>
      <w:r>
        <w:rPr>
          <w:rFonts w:ascii="Calibri" w:eastAsia="Calibri" w:hAnsi="Calibri" w:cs="Calibri"/>
          <w:color w:val="000000"/>
          <w:sz w:val="22"/>
        </w:rPr>
        <w:tab/>
      </w:r>
    </w:p>
    <w:p w14:paraId="05814ABE" w14:textId="77777777" w:rsidR="00D00431" w:rsidRDefault="00D20C04">
      <w:pPr>
        <w:spacing w:after="18" w:line="259" w:lineRule="auto"/>
        <w:ind w:left="432" w:right="0" w:firstLine="0"/>
        <w:jc w:val="center"/>
      </w:pPr>
      <w:r>
        <w:rPr>
          <w:color w:val="000000"/>
        </w:rPr>
        <w:t xml:space="preserve"> </w:t>
      </w:r>
    </w:p>
    <w:p w14:paraId="4C1D00F0" w14:textId="77777777" w:rsidR="00D00431" w:rsidRDefault="00D20C04">
      <w:pPr>
        <w:spacing w:after="21" w:line="259" w:lineRule="auto"/>
        <w:ind w:left="359" w:right="0" w:firstLine="0"/>
        <w:jc w:val="center"/>
      </w:pPr>
      <w:r>
        <w:rPr>
          <w:b/>
          <w:color w:val="000000"/>
          <w:u w:val="single" w:color="000000"/>
        </w:rPr>
        <w:t>CASE SUMMARY</w:t>
      </w:r>
      <w:r>
        <w:rPr>
          <w:b/>
          <w:color w:val="000000"/>
        </w:rPr>
        <w:t xml:space="preserve">   </w:t>
      </w:r>
    </w:p>
    <w:p w14:paraId="0FB9CD95" w14:textId="77777777" w:rsidR="00D00431" w:rsidRDefault="00D20C04">
      <w:pPr>
        <w:spacing w:after="18" w:line="259" w:lineRule="auto"/>
        <w:ind w:left="432" w:right="0" w:firstLine="0"/>
        <w:jc w:val="center"/>
      </w:pPr>
      <w:r>
        <w:rPr>
          <w:b/>
          <w:color w:val="000000"/>
        </w:rPr>
        <w:t xml:space="preserve"> </w:t>
      </w:r>
    </w:p>
    <w:p w14:paraId="66109129" w14:textId="2E980E66" w:rsidR="00D00431" w:rsidRDefault="00D20C04">
      <w:pPr>
        <w:tabs>
          <w:tab w:val="center" w:pos="973"/>
          <w:tab w:val="center" w:pos="2525"/>
          <w:tab w:val="center" w:pos="3246"/>
          <w:tab w:val="center" w:pos="5987"/>
        </w:tabs>
        <w:spacing w:after="28" w:line="259" w:lineRule="auto"/>
        <w:ind w:left="0" w:right="0" w:firstLine="0"/>
        <w:jc w:val="left"/>
      </w:pPr>
      <w:r>
        <w:rPr>
          <w:rFonts w:ascii="Calibri" w:eastAsia="Calibri" w:hAnsi="Calibri" w:cs="Calibri"/>
          <w:color w:val="000000"/>
          <w:sz w:val="22"/>
        </w:rPr>
        <w:tab/>
      </w:r>
      <w:r>
        <w:rPr>
          <w:color w:val="000000"/>
        </w:rPr>
        <w:t xml:space="preserve">PARTIES:  </w:t>
      </w:r>
      <w:r>
        <w:rPr>
          <w:color w:val="000000"/>
        </w:rPr>
        <w:tab/>
        <w:t xml:space="preserve"> </w:t>
      </w:r>
      <w:r>
        <w:rPr>
          <w:color w:val="000000"/>
        </w:rPr>
        <w:tab/>
        <w:t xml:space="preserve"> </w:t>
      </w:r>
      <w:r w:rsidR="008B559F">
        <w:rPr>
          <w:color w:val="000000"/>
        </w:rPr>
        <w:tab/>
      </w:r>
      <w:r w:rsidR="0059179E">
        <w:rPr>
          <w:i/>
          <w:color w:val="000000"/>
        </w:rPr>
        <w:t>DAVID P BANDA</w:t>
      </w:r>
      <w:r>
        <w:rPr>
          <w:i/>
          <w:color w:val="000000"/>
        </w:rPr>
        <w:t xml:space="preserve"> v </w:t>
      </w:r>
      <w:r w:rsidR="0059179E">
        <w:rPr>
          <w:i/>
          <w:color w:val="000000"/>
        </w:rPr>
        <w:t>ATTORNEY GENERAL (MEC)</w:t>
      </w:r>
      <w:r>
        <w:rPr>
          <w:i/>
          <w:color w:val="000000"/>
        </w:rPr>
        <w:t xml:space="preserve"> </w:t>
      </w:r>
    </w:p>
    <w:p w14:paraId="249DCF67" w14:textId="090B8E84" w:rsidR="00D00431" w:rsidRDefault="00D20C04">
      <w:pPr>
        <w:tabs>
          <w:tab w:val="center" w:pos="1613"/>
          <w:tab w:val="center" w:pos="3246"/>
          <w:tab w:val="center" w:pos="5555"/>
        </w:tabs>
        <w:spacing w:after="28" w:line="259" w:lineRule="auto"/>
        <w:ind w:left="0" w:right="0" w:firstLine="0"/>
        <w:jc w:val="left"/>
      </w:pPr>
      <w:r>
        <w:rPr>
          <w:rFonts w:ascii="Calibri" w:eastAsia="Calibri" w:hAnsi="Calibri" w:cs="Calibri"/>
          <w:color w:val="000000"/>
          <w:sz w:val="22"/>
        </w:rPr>
        <w:tab/>
      </w:r>
      <w:r>
        <w:rPr>
          <w:color w:val="000000"/>
        </w:rPr>
        <w:t xml:space="preserve">PRESIDING JUDGE: </w:t>
      </w:r>
      <w:r>
        <w:rPr>
          <w:color w:val="000000"/>
        </w:rPr>
        <w:tab/>
        <w:t xml:space="preserve"> </w:t>
      </w:r>
      <w:r w:rsidR="008B559F">
        <w:rPr>
          <w:color w:val="000000"/>
        </w:rPr>
        <w:t xml:space="preserve">    </w:t>
      </w:r>
      <w:r>
        <w:rPr>
          <w:i/>
          <w:color w:val="000000"/>
        </w:rPr>
        <w:t>HON. JUSTIC</w:t>
      </w:r>
      <w:r w:rsidR="008B559F">
        <w:rPr>
          <w:i/>
          <w:color w:val="000000"/>
        </w:rPr>
        <w:t>E B. M KALEMBA</w:t>
      </w:r>
    </w:p>
    <w:p w14:paraId="552A5F69" w14:textId="61704B61" w:rsidR="00D00431" w:rsidRDefault="00D20C04">
      <w:pPr>
        <w:tabs>
          <w:tab w:val="center" w:pos="1427"/>
          <w:tab w:val="center" w:pos="3246"/>
          <w:tab w:val="center" w:pos="4759"/>
        </w:tabs>
        <w:spacing w:after="52" w:line="248" w:lineRule="auto"/>
        <w:ind w:left="0" w:right="0" w:firstLine="0"/>
        <w:jc w:val="left"/>
      </w:pPr>
      <w:r>
        <w:rPr>
          <w:rFonts w:ascii="Calibri" w:eastAsia="Calibri" w:hAnsi="Calibri" w:cs="Calibri"/>
          <w:color w:val="000000"/>
          <w:sz w:val="22"/>
        </w:rPr>
        <w:tab/>
      </w:r>
      <w:r>
        <w:rPr>
          <w:color w:val="000000"/>
        </w:rPr>
        <w:t xml:space="preserve">DELIVERED ON:  </w:t>
      </w:r>
      <w:r>
        <w:rPr>
          <w:color w:val="000000"/>
        </w:rPr>
        <w:tab/>
      </w:r>
      <w:r w:rsidR="00033F68">
        <w:rPr>
          <w:color w:val="000000"/>
        </w:rPr>
        <w:t xml:space="preserve">        </w:t>
      </w:r>
      <w:r w:rsidR="00EF069A">
        <w:rPr>
          <w:i/>
          <w:color w:val="000000"/>
        </w:rPr>
        <w:t>23rd</w:t>
      </w:r>
      <w:r>
        <w:rPr>
          <w:i/>
          <w:color w:val="000000"/>
        </w:rPr>
        <w:t xml:space="preserve"> </w:t>
      </w:r>
      <w:r w:rsidR="00EF069A">
        <w:rPr>
          <w:i/>
          <w:color w:val="000000"/>
        </w:rPr>
        <w:t>September</w:t>
      </w:r>
      <w:r>
        <w:rPr>
          <w:i/>
          <w:color w:val="000000"/>
        </w:rPr>
        <w:t xml:space="preserve"> 2025</w:t>
      </w:r>
      <w:r>
        <w:rPr>
          <w:color w:val="000000"/>
        </w:rPr>
        <w:t xml:space="preserve"> </w:t>
      </w:r>
    </w:p>
    <w:p w14:paraId="559B1370" w14:textId="77777777" w:rsidR="00D00431" w:rsidRDefault="00D20C04">
      <w:pPr>
        <w:spacing w:after="8" w:line="259" w:lineRule="auto"/>
        <w:ind w:left="365" w:right="0" w:firstLine="0"/>
        <w:jc w:val="left"/>
      </w:pPr>
      <w:r>
        <w:rPr>
          <w:i/>
          <w:color w:val="000000"/>
        </w:rPr>
        <w:t xml:space="preserve"> </w:t>
      </w:r>
    </w:p>
    <w:p w14:paraId="5BFB9A03" w14:textId="77777777" w:rsidR="00EF069A" w:rsidRPr="00EF069A" w:rsidRDefault="00D20C04" w:rsidP="00EF069A">
      <w:pPr>
        <w:pStyle w:val="p1"/>
        <w:numPr>
          <w:ilvl w:val="0"/>
          <w:numId w:val="3"/>
        </w:numPr>
        <w:rPr>
          <w:rFonts w:ascii="Times New Roman" w:hAnsi="Times New Roman"/>
        </w:rPr>
      </w:pPr>
      <w:r>
        <w:rPr>
          <w:rFonts w:ascii="Aptos" w:eastAsia="Aptos" w:hAnsi="Aptos" w:cs="Aptos"/>
          <w:color w:val="000000"/>
          <w:sz w:val="24"/>
        </w:rPr>
        <w:t xml:space="preserve"> </w:t>
      </w:r>
      <w:r w:rsidR="00EF069A" w:rsidRPr="00EF069A">
        <w:rPr>
          <w:rFonts w:ascii="Times New Roman" w:hAnsi="Times New Roman"/>
        </w:rPr>
        <w:t>BRIEF FACTS: David P. Kambalame, the claimant, filed an application for an interlocutory injunction to restrain the defendant (presumably the Malawi Electoral Commission or its agents) from announcing parliamentary election results for Lilongwe Mpenu Constituency. He alleged numerous anomalies in the election process held on 16th September 2025and claimed to have submitted a complaint requesting a vote recount. His application included a sworn statement and a letter of complaint marked as Exhibit “DPK 3”.</w:t>
      </w:r>
    </w:p>
    <w:p w14:paraId="5E503B1B" w14:textId="77777777" w:rsidR="00EF069A" w:rsidRPr="00EF069A" w:rsidRDefault="00EF069A" w:rsidP="00EF069A">
      <w:pPr>
        <w:spacing w:after="0" w:line="240" w:lineRule="auto"/>
        <w:ind w:left="0" w:right="0" w:firstLine="0"/>
        <w:jc w:val="left"/>
        <w:rPr>
          <w:rFonts w:eastAsiaTheme="minorEastAsia"/>
          <w:color w:val="auto"/>
          <w:kern w:val="0"/>
          <w:sz w:val="26"/>
          <w:szCs w:val="26"/>
          <w14:ligatures w14:val="none"/>
        </w:rPr>
      </w:pPr>
    </w:p>
    <w:p w14:paraId="46F868BA" w14:textId="77777777" w:rsidR="00EF069A" w:rsidRPr="00EF069A" w:rsidRDefault="00EF069A" w:rsidP="00EF069A">
      <w:pPr>
        <w:numPr>
          <w:ilvl w:val="0"/>
          <w:numId w:val="3"/>
        </w:numPr>
        <w:spacing w:after="0" w:line="240" w:lineRule="auto"/>
        <w:ind w:right="0"/>
        <w:jc w:val="left"/>
        <w:rPr>
          <w:rFonts w:eastAsiaTheme="minorEastAsia"/>
          <w:color w:val="auto"/>
          <w:kern w:val="0"/>
          <w:sz w:val="26"/>
          <w:szCs w:val="26"/>
          <w14:ligatures w14:val="none"/>
        </w:rPr>
      </w:pPr>
      <w:r w:rsidRPr="00EF069A">
        <w:rPr>
          <w:rFonts w:eastAsiaTheme="minorEastAsia"/>
          <w:color w:val="auto"/>
          <w:kern w:val="0"/>
          <w:sz w:val="26"/>
          <w:szCs w:val="26"/>
          <w14:ligatures w14:val="none"/>
        </w:rPr>
        <w:t>LEGAL: Whether the Court should grant an interlocutory injunction restraining the announcement or recognition of election results pending the resolution of the claimant's complaint by the electoral authorities or further order of the Court.</w:t>
      </w:r>
    </w:p>
    <w:p w14:paraId="42D69351" w14:textId="77777777" w:rsidR="00EF069A" w:rsidRPr="00EF069A" w:rsidRDefault="00EF069A" w:rsidP="00EF069A">
      <w:pPr>
        <w:spacing w:after="0" w:line="240" w:lineRule="auto"/>
        <w:ind w:left="0" w:right="0" w:firstLine="0"/>
        <w:jc w:val="left"/>
        <w:rPr>
          <w:rFonts w:eastAsiaTheme="minorEastAsia"/>
          <w:color w:val="auto"/>
          <w:kern w:val="0"/>
          <w:sz w:val="26"/>
          <w:szCs w:val="26"/>
          <w14:ligatures w14:val="none"/>
        </w:rPr>
      </w:pPr>
    </w:p>
    <w:p w14:paraId="3CDE6BE8" w14:textId="77777777" w:rsidR="00EF069A" w:rsidRPr="00EF069A" w:rsidRDefault="00EF069A" w:rsidP="00EF069A">
      <w:pPr>
        <w:numPr>
          <w:ilvl w:val="0"/>
          <w:numId w:val="3"/>
        </w:numPr>
        <w:spacing w:after="0" w:line="240" w:lineRule="auto"/>
        <w:ind w:right="0"/>
        <w:jc w:val="left"/>
        <w:rPr>
          <w:rFonts w:eastAsiaTheme="minorEastAsia"/>
          <w:color w:val="auto"/>
          <w:kern w:val="0"/>
          <w:sz w:val="26"/>
          <w:szCs w:val="26"/>
          <w14:ligatures w14:val="none"/>
        </w:rPr>
      </w:pPr>
      <w:r w:rsidRPr="00EF069A">
        <w:rPr>
          <w:rFonts w:eastAsiaTheme="minorEastAsia"/>
          <w:color w:val="auto"/>
          <w:kern w:val="0"/>
          <w:sz w:val="26"/>
          <w:szCs w:val="26"/>
          <w14:ligatures w14:val="none"/>
        </w:rPr>
        <w:t>FINDING: The Court refused to grant the interlocutory injunction, holding that:</w:t>
      </w:r>
    </w:p>
    <w:p w14:paraId="3BDE892F" w14:textId="77777777" w:rsidR="00EF069A" w:rsidRPr="00EF069A" w:rsidRDefault="00EF069A" w:rsidP="00EF069A">
      <w:pPr>
        <w:numPr>
          <w:ilvl w:val="0"/>
          <w:numId w:val="2"/>
        </w:numPr>
        <w:spacing w:after="0" w:line="240" w:lineRule="auto"/>
        <w:ind w:right="0"/>
        <w:jc w:val="left"/>
        <w:rPr>
          <w:color w:val="auto"/>
          <w:kern w:val="0"/>
          <w:sz w:val="26"/>
          <w:szCs w:val="26"/>
          <w14:ligatures w14:val="none"/>
        </w:rPr>
      </w:pPr>
      <w:r w:rsidRPr="00EF069A">
        <w:rPr>
          <w:color w:val="auto"/>
          <w:kern w:val="0"/>
          <w:sz w:val="26"/>
          <w:szCs w:val="26"/>
          <w14:ligatures w14:val="none"/>
        </w:rPr>
        <w:t>The application was based on an unsubstantiated assumption that the Malawi Electoral Commission would not follow due procedure in addressing the complaint.</w:t>
      </w:r>
    </w:p>
    <w:p w14:paraId="6341AB1C" w14:textId="77777777" w:rsidR="00EF069A" w:rsidRPr="00EF069A" w:rsidRDefault="00EF069A" w:rsidP="00EF069A">
      <w:pPr>
        <w:numPr>
          <w:ilvl w:val="0"/>
          <w:numId w:val="2"/>
        </w:numPr>
        <w:spacing w:after="0" w:line="240" w:lineRule="auto"/>
        <w:ind w:right="0"/>
        <w:jc w:val="left"/>
        <w:rPr>
          <w:color w:val="auto"/>
          <w:kern w:val="0"/>
          <w:sz w:val="26"/>
          <w:szCs w:val="26"/>
          <w14:ligatures w14:val="none"/>
        </w:rPr>
      </w:pPr>
      <w:r w:rsidRPr="00EF069A">
        <w:rPr>
          <w:color w:val="auto"/>
          <w:kern w:val="0"/>
          <w:sz w:val="26"/>
          <w:szCs w:val="26"/>
          <w14:ligatures w14:val="none"/>
        </w:rPr>
        <w:t>The claimant would not suffer irreparable damage if the injunction was denied, as section 100 of the relevant Elections Act provides a right of appeal to the High Court.</w:t>
      </w:r>
    </w:p>
    <w:p w14:paraId="694E459C" w14:textId="77777777" w:rsidR="00EF069A" w:rsidRPr="00EF069A" w:rsidRDefault="00EF069A" w:rsidP="00EF069A">
      <w:pPr>
        <w:numPr>
          <w:ilvl w:val="0"/>
          <w:numId w:val="2"/>
        </w:numPr>
        <w:spacing w:after="0" w:line="240" w:lineRule="auto"/>
        <w:ind w:right="0"/>
        <w:jc w:val="left"/>
        <w:rPr>
          <w:color w:val="auto"/>
          <w:kern w:val="0"/>
          <w:sz w:val="26"/>
          <w:szCs w:val="26"/>
          <w14:ligatures w14:val="none"/>
        </w:rPr>
      </w:pPr>
      <w:r w:rsidRPr="00EF069A">
        <w:rPr>
          <w:color w:val="auto"/>
          <w:kern w:val="0"/>
          <w:sz w:val="26"/>
          <w:szCs w:val="26"/>
          <w14:ligatures w14:val="none"/>
        </w:rPr>
        <w:t xml:space="preserve">Order 19 rule 19 of the Courts (High Court) (Civil Procedure) Rules requires that an application for an interim injunction in connection with an election </w:t>
      </w:r>
      <w:r w:rsidRPr="00EF069A">
        <w:rPr>
          <w:color w:val="auto"/>
          <w:kern w:val="0"/>
          <w:sz w:val="26"/>
          <w:szCs w:val="26"/>
          <w14:ligatures w14:val="none"/>
        </w:rPr>
        <w:lastRenderedPageBreak/>
        <w:t>matter must be made inter partes (with notice to the other party), and this was not done.</w:t>
      </w:r>
    </w:p>
    <w:p w14:paraId="7AD155D9" w14:textId="77777777" w:rsidR="00EF069A" w:rsidRPr="00EF069A" w:rsidRDefault="00EF069A" w:rsidP="00EF069A">
      <w:pPr>
        <w:spacing w:after="0" w:line="240" w:lineRule="auto"/>
        <w:ind w:left="0" w:right="0" w:firstLine="0"/>
        <w:jc w:val="left"/>
        <w:rPr>
          <w:rFonts w:eastAsiaTheme="minorEastAsia"/>
          <w:color w:val="auto"/>
          <w:kern w:val="0"/>
          <w:sz w:val="26"/>
          <w:szCs w:val="26"/>
          <w14:ligatures w14:val="none"/>
        </w:rPr>
      </w:pPr>
    </w:p>
    <w:p w14:paraId="4BD7606A" w14:textId="5310E5C9" w:rsidR="00EF069A" w:rsidRDefault="00EF069A" w:rsidP="00EF069A">
      <w:pPr>
        <w:numPr>
          <w:ilvl w:val="0"/>
          <w:numId w:val="3"/>
        </w:numPr>
        <w:spacing w:after="0" w:line="240" w:lineRule="auto"/>
        <w:ind w:right="0"/>
        <w:jc w:val="left"/>
        <w:rPr>
          <w:rFonts w:eastAsiaTheme="minorEastAsia"/>
          <w:color w:val="auto"/>
          <w:kern w:val="0"/>
          <w:sz w:val="26"/>
          <w:szCs w:val="26"/>
          <w14:ligatures w14:val="none"/>
        </w:rPr>
      </w:pPr>
      <w:r w:rsidRPr="00EF069A">
        <w:rPr>
          <w:rFonts w:eastAsiaTheme="minorEastAsia"/>
          <w:color w:val="auto"/>
          <w:kern w:val="0"/>
          <w:sz w:val="26"/>
          <w:szCs w:val="26"/>
          <w14:ligatures w14:val="none"/>
        </w:rPr>
        <w:t>ORDER: The Court dismissed the application for an interlocutory injunction.</w:t>
      </w:r>
    </w:p>
    <w:p w14:paraId="4A4C2BCE" w14:textId="67396B3B" w:rsidR="0041761D" w:rsidRDefault="0041761D" w:rsidP="0041761D">
      <w:pPr>
        <w:spacing w:after="0" w:line="240" w:lineRule="auto"/>
        <w:ind w:right="0"/>
        <w:jc w:val="left"/>
        <w:rPr>
          <w:rFonts w:eastAsiaTheme="minorEastAsia"/>
          <w:color w:val="auto"/>
          <w:kern w:val="0"/>
          <w:sz w:val="26"/>
          <w:szCs w:val="26"/>
          <w14:ligatures w14:val="none"/>
        </w:rPr>
      </w:pPr>
    </w:p>
    <w:p w14:paraId="20D397C5" w14:textId="7072122B" w:rsidR="0041761D" w:rsidRDefault="0041761D" w:rsidP="0041761D">
      <w:pPr>
        <w:spacing w:after="0" w:line="240" w:lineRule="auto"/>
        <w:ind w:right="0"/>
        <w:jc w:val="left"/>
        <w:rPr>
          <w:rFonts w:eastAsiaTheme="minorEastAsia"/>
          <w:color w:val="auto"/>
          <w:kern w:val="0"/>
          <w:sz w:val="26"/>
          <w:szCs w:val="26"/>
          <w14:ligatures w14:val="none"/>
        </w:rPr>
      </w:pPr>
    </w:p>
    <w:p w14:paraId="4C5528FE" w14:textId="77777777" w:rsidR="0041761D" w:rsidRDefault="0041761D" w:rsidP="0041761D">
      <w:pPr>
        <w:pStyle w:val="s21"/>
        <w:spacing w:before="0" w:beforeAutospacing="0" w:after="120" w:afterAutospacing="0" w:line="276" w:lineRule="auto"/>
        <w:ind w:left="360"/>
        <w:rPr>
          <w:rStyle w:val="bumpedfont15"/>
          <w:i/>
          <w:iCs/>
          <w:color w:val="000000"/>
          <w:sz w:val="28"/>
          <w:szCs w:val="28"/>
        </w:rPr>
      </w:pPr>
      <w:r w:rsidRPr="00212651">
        <w:rPr>
          <w:rStyle w:val="bumpedfont15"/>
          <w:b/>
          <w:bCs/>
          <w:i/>
          <w:iCs/>
          <w:color w:val="000000"/>
          <w:sz w:val="28"/>
          <w:szCs w:val="28"/>
        </w:rPr>
        <w:t>DISCLAIMER - NB</w:t>
      </w:r>
      <w:r w:rsidRPr="00212651">
        <w:rPr>
          <w:rStyle w:val="bumpedfont15"/>
          <w:i/>
          <w:iCs/>
          <w:color w:val="000000"/>
          <w:sz w:val="28"/>
          <w:szCs w:val="28"/>
        </w:rPr>
        <w:t>: The High Court of Malawi and the Honourable Judge are not bound by this explanatory note, which is provided by the Office of the Chief Registrar to facilitate public understanding of this case and to assist the media in reporting on it.  Readers are encouraged to read the judgment/ ruling of the court.</w:t>
      </w:r>
    </w:p>
    <w:p w14:paraId="2728C292" w14:textId="514C9DC6" w:rsidR="00EF069A" w:rsidRPr="0041761D" w:rsidRDefault="0041761D" w:rsidP="0041761D">
      <w:pPr>
        <w:spacing w:after="0" w:line="240" w:lineRule="auto"/>
        <w:ind w:right="0"/>
        <w:jc w:val="left"/>
        <w:rPr>
          <w:rFonts w:eastAsiaTheme="minorEastAsia"/>
          <w:color w:val="auto"/>
          <w:kern w:val="0"/>
          <w:sz w:val="26"/>
          <w:szCs w:val="26"/>
          <w14:ligatures w14:val="none"/>
        </w:rPr>
      </w:pPr>
      <w:r w:rsidRPr="0041761D">
        <w:rPr>
          <w:rStyle w:val="bumpedfont15"/>
          <w:b/>
          <w:bCs/>
          <w:iCs/>
          <w:color w:val="000000"/>
          <w:sz w:val="26"/>
          <w:szCs w:val="26"/>
          <w:lang w:val="en-GB"/>
        </w:rPr>
        <w:t xml:space="preserve">Access the Ruling: </w:t>
      </w:r>
      <w:hyperlink r:id="rId6" w:history="1">
        <w:r w:rsidRPr="0041761D">
          <w:rPr>
            <w:rStyle w:val="Hyperlink"/>
            <w:rFonts w:eastAsiaTheme="minorEastAsia"/>
            <w:kern w:val="0"/>
            <w:sz w:val="26"/>
            <w:szCs w:val="26"/>
            <w14:ligatures w14:val="none"/>
          </w:rPr>
          <w:t>https://www.judiciary.mw/node/802</w:t>
        </w:r>
      </w:hyperlink>
    </w:p>
    <w:sectPr w:rsidR="00EF069A" w:rsidRPr="0041761D">
      <w:pgSz w:w="12240" w:h="15840"/>
      <w:pgMar w:top="160" w:right="1435" w:bottom="718" w:left="10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UICTFontTextStyleEmphasizedBody">
    <w:altName w:val="Cambria"/>
    <w:charset w:val="00"/>
    <w:family w:val="roman"/>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F4AB9"/>
    <w:multiLevelType w:val="hybridMultilevel"/>
    <w:tmpl w:val="FFFFFFFF"/>
    <w:lvl w:ilvl="0" w:tplc="D85E0E66">
      <w:start w:val="1"/>
      <w:numFmt w:val="upperRoman"/>
      <w:lvlText w:val="%1."/>
      <w:lvlJc w:val="left"/>
      <w:pPr>
        <w:ind w:left="786"/>
      </w:pPr>
      <w:rPr>
        <w:rFonts w:ascii="Times New Roman" w:eastAsia="Times New Roman" w:hAnsi="Times New Roman" w:cs="Times New Roman"/>
        <w:b w:val="0"/>
        <w:i w:val="0"/>
        <w:strike w:val="0"/>
        <w:dstrike w:val="0"/>
        <w:color w:val="494A4D"/>
        <w:sz w:val="28"/>
        <w:szCs w:val="28"/>
        <w:u w:val="none" w:color="000000"/>
        <w:bdr w:val="none" w:sz="0" w:space="0" w:color="auto"/>
        <w:shd w:val="clear" w:color="auto" w:fill="auto"/>
        <w:vertAlign w:val="baseline"/>
      </w:rPr>
    </w:lvl>
    <w:lvl w:ilvl="1" w:tplc="A4D655BA">
      <w:start w:val="1"/>
      <w:numFmt w:val="bullet"/>
      <w:lvlText w:val="•"/>
      <w:lvlJc w:val="left"/>
      <w:pPr>
        <w:ind w:left="1070"/>
      </w:pPr>
      <w:rPr>
        <w:rFonts w:ascii="Arial" w:eastAsia="Arial" w:hAnsi="Arial" w:cs="Arial"/>
        <w:b w:val="0"/>
        <w:i w:val="0"/>
        <w:strike w:val="0"/>
        <w:dstrike w:val="0"/>
        <w:color w:val="494A4D"/>
        <w:sz w:val="20"/>
        <w:szCs w:val="20"/>
        <w:u w:val="none" w:color="000000"/>
        <w:bdr w:val="none" w:sz="0" w:space="0" w:color="auto"/>
        <w:shd w:val="clear" w:color="auto" w:fill="auto"/>
        <w:vertAlign w:val="baseline"/>
      </w:rPr>
    </w:lvl>
    <w:lvl w:ilvl="2" w:tplc="471A0732">
      <w:start w:val="1"/>
      <w:numFmt w:val="bullet"/>
      <w:lvlText w:val="▪"/>
      <w:lvlJc w:val="left"/>
      <w:pPr>
        <w:ind w:left="1805"/>
      </w:pPr>
      <w:rPr>
        <w:rFonts w:ascii="Segoe UI Symbol" w:eastAsia="Segoe UI Symbol" w:hAnsi="Segoe UI Symbol" w:cs="Segoe UI Symbol"/>
        <w:b w:val="0"/>
        <w:i w:val="0"/>
        <w:strike w:val="0"/>
        <w:dstrike w:val="0"/>
        <w:color w:val="494A4D"/>
        <w:sz w:val="20"/>
        <w:szCs w:val="20"/>
        <w:u w:val="none" w:color="000000"/>
        <w:bdr w:val="none" w:sz="0" w:space="0" w:color="auto"/>
        <w:shd w:val="clear" w:color="auto" w:fill="auto"/>
        <w:vertAlign w:val="baseline"/>
      </w:rPr>
    </w:lvl>
    <w:lvl w:ilvl="3" w:tplc="794E27FC">
      <w:start w:val="1"/>
      <w:numFmt w:val="bullet"/>
      <w:lvlText w:val="•"/>
      <w:lvlJc w:val="left"/>
      <w:pPr>
        <w:ind w:left="2525"/>
      </w:pPr>
      <w:rPr>
        <w:rFonts w:ascii="Arial" w:eastAsia="Arial" w:hAnsi="Arial" w:cs="Arial"/>
        <w:b w:val="0"/>
        <w:i w:val="0"/>
        <w:strike w:val="0"/>
        <w:dstrike w:val="0"/>
        <w:color w:val="494A4D"/>
        <w:sz w:val="20"/>
        <w:szCs w:val="20"/>
        <w:u w:val="none" w:color="000000"/>
        <w:bdr w:val="none" w:sz="0" w:space="0" w:color="auto"/>
        <w:shd w:val="clear" w:color="auto" w:fill="auto"/>
        <w:vertAlign w:val="baseline"/>
      </w:rPr>
    </w:lvl>
    <w:lvl w:ilvl="4" w:tplc="35A8BB62">
      <w:start w:val="1"/>
      <w:numFmt w:val="bullet"/>
      <w:lvlText w:val="o"/>
      <w:lvlJc w:val="left"/>
      <w:pPr>
        <w:ind w:left="3245"/>
      </w:pPr>
      <w:rPr>
        <w:rFonts w:ascii="Segoe UI Symbol" w:eastAsia="Segoe UI Symbol" w:hAnsi="Segoe UI Symbol" w:cs="Segoe UI Symbol"/>
        <w:b w:val="0"/>
        <w:i w:val="0"/>
        <w:strike w:val="0"/>
        <w:dstrike w:val="0"/>
        <w:color w:val="494A4D"/>
        <w:sz w:val="20"/>
        <w:szCs w:val="20"/>
        <w:u w:val="none" w:color="000000"/>
        <w:bdr w:val="none" w:sz="0" w:space="0" w:color="auto"/>
        <w:shd w:val="clear" w:color="auto" w:fill="auto"/>
        <w:vertAlign w:val="baseline"/>
      </w:rPr>
    </w:lvl>
    <w:lvl w:ilvl="5" w:tplc="28F0CAD4">
      <w:start w:val="1"/>
      <w:numFmt w:val="bullet"/>
      <w:lvlText w:val="▪"/>
      <w:lvlJc w:val="left"/>
      <w:pPr>
        <w:ind w:left="3965"/>
      </w:pPr>
      <w:rPr>
        <w:rFonts w:ascii="Segoe UI Symbol" w:eastAsia="Segoe UI Symbol" w:hAnsi="Segoe UI Symbol" w:cs="Segoe UI Symbol"/>
        <w:b w:val="0"/>
        <w:i w:val="0"/>
        <w:strike w:val="0"/>
        <w:dstrike w:val="0"/>
        <w:color w:val="494A4D"/>
        <w:sz w:val="20"/>
        <w:szCs w:val="20"/>
        <w:u w:val="none" w:color="000000"/>
        <w:bdr w:val="none" w:sz="0" w:space="0" w:color="auto"/>
        <w:shd w:val="clear" w:color="auto" w:fill="auto"/>
        <w:vertAlign w:val="baseline"/>
      </w:rPr>
    </w:lvl>
    <w:lvl w:ilvl="6" w:tplc="DF484F40">
      <w:start w:val="1"/>
      <w:numFmt w:val="bullet"/>
      <w:lvlText w:val="•"/>
      <w:lvlJc w:val="left"/>
      <w:pPr>
        <w:ind w:left="4685"/>
      </w:pPr>
      <w:rPr>
        <w:rFonts w:ascii="Arial" w:eastAsia="Arial" w:hAnsi="Arial" w:cs="Arial"/>
        <w:b w:val="0"/>
        <w:i w:val="0"/>
        <w:strike w:val="0"/>
        <w:dstrike w:val="0"/>
        <w:color w:val="494A4D"/>
        <w:sz w:val="20"/>
        <w:szCs w:val="20"/>
        <w:u w:val="none" w:color="000000"/>
        <w:bdr w:val="none" w:sz="0" w:space="0" w:color="auto"/>
        <w:shd w:val="clear" w:color="auto" w:fill="auto"/>
        <w:vertAlign w:val="baseline"/>
      </w:rPr>
    </w:lvl>
    <w:lvl w:ilvl="7" w:tplc="D460170C">
      <w:start w:val="1"/>
      <w:numFmt w:val="bullet"/>
      <w:lvlText w:val="o"/>
      <w:lvlJc w:val="left"/>
      <w:pPr>
        <w:ind w:left="5405"/>
      </w:pPr>
      <w:rPr>
        <w:rFonts w:ascii="Segoe UI Symbol" w:eastAsia="Segoe UI Symbol" w:hAnsi="Segoe UI Symbol" w:cs="Segoe UI Symbol"/>
        <w:b w:val="0"/>
        <w:i w:val="0"/>
        <w:strike w:val="0"/>
        <w:dstrike w:val="0"/>
        <w:color w:val="494A4D"/>
        <w:sz w:val="20"/>
        <w:szCs w:val="20"/>
        <w:u w:val="none" w:color="000000"/>
        <w:bdr w:val="none" w:sz="0" w:space="0" w:color="auto"/>
        <w:shd w:val="clear" w:color="auto" w:fill="auto"/>
        <w:vertAlign w:val="baseline"/>
      </w:rPr>
    </w:lvl>
    <w:lvl w:ilvl="8" w:tplc="86AAC80A">
      <w:start w:val="1"/>
      <w:numFmt w:val="bullet"/>
      <w:lvlText w:val="▪"/>
      <w:lvlJc w:val="left"/>
      <w:pPr>
        <w:ind w:left="6125"/>
      </w:pPr>
      <w:rPr>
        <w:rFonts w:ascii="Segoe UI Symbol" w:eastAsia="Segoe UI Symbol" w:hAnsi="Segoe UI Symbol" w:cs="Segoe UI Symbol"/>
        <w:b w:val="0"/>
        <w:i w:val="0"/>
        <w:strike w:val="0"/>
        <w:dstrike w:val="0"/>
        <w:color w:val="494A4D"/>
        <w:sz w:val="20"/>
        <w:szCs w:val="20"/>
        <w:u w:val="none" w:color="000000"/>
        <w:bdr w:val="none" w:sz="0" w:space="0" w:color="auto"/>
        <w:shd w:val="clear" w:color="auto" w:fill="auto"/>
        <w:vertAlign w:val="baseline"/>
      </w:rPr>
    </w:lvl>
  </w:abstractNum>
  <w:abstractNum w:abstractNumId="1" w15:restartNumberingAfterBreak="0">
    <w:nsid w:val="345300D0"/>
    <w:multiLevelType w:val="hybridMultilevel"/>
    <w:tmpl w:val="A6A468D0"/>
    <w:lvl w:ilvl="0" w:tplc="FFFFFFFF">
      <w:start w:val="1"/>
      <w:numFmt w:val="upperRoman"/>
      <w:lvlText w:val="%1."/>
      <w:lvlJc w:val="left"/>
      <w:pPr>
        <w:ind w:left="1080" w:hanging="720"/>
      </w:pPr>
      <w:rPr>
        <w:rFonts w:ascii="UICTFontTextStyleEmphasizedBody" w:hAnsi="UICTFontTextStyleEmphasizedBody"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CFF3F01"/>
    <w:multiLevelType w:val="multilevel"/>
    <w:tmpl w:val="FFFFFFFF"/>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431"/>
    <w:rsid w:val="00033F68"/>
    <w:rsid w:val="00272221"/>
    <w:rsid w:val="0041761D"/>
    <w:rsid w:val="0059179E"/>
    <w:rsid w:val="00723863"/>
    <w:rsid w:val="00726834"/>
    <w:rsid w:val="007C27CF"/>
    <w:rsid w:val="0082258A"/>
    <w:rsid w:val="008A7327"/>
    <w:rsid w:val="008B559F"/>
    <w:rsid w:val="009A3CC8"/>
    <w:rsid w:val="00AA6655"/>
    <w:rsid w:val="00B55B1E"/>
    <w:rsid w:val="00C12C6C"/>
    <w:rsid w:val="00D00431"/>
    <w:rsid w:val="00D20C04"/>
    <w:rsid w:val="00EF069A"/>
    <w:rsid w:val="00F94EB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BE6AF7"/>
  <w15:docId w15:val="{696EC77F-F967-274A-8AD5-9A458A09F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eastAsia="en-GB"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5" w:line="304" w:lineRule="auto"/>
      <w:ind w:left="572" w:right="1" w:hanging="370"/>
      <w:jc w:val="both"/>
    </w:pPr>
    <w:rPr>
      <w:rFonts w:ascii="Times New Roman" w:eastAsia="Times New Roman" w:hAnsi="Times New Roman" w:cs="Times New Roman"/>
      <w:color w:val="494A4D"/>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EF069A"/>
    <w:pPr>
      <w:spacing w:after="0" w:line="240" w:lineRule="auto"/>
      <w:ind w:left="0" w:right="0" w:firstLine="0"/>
      <w:jc w:val="left"/>
    </w:pPr>
    <w:rPr>
      <w:rFonts w:ascii=".AppleSystemUIFont" w:eastAsiaTheme="minorEastAsia" w:hAnsi=".AppleSystemUIFont"/>
      <w:color w:val="auto"/>
      <w:kern w:val="0"/>
      <w:sz w:val="26"/>
      <w:szCs w:val="26"/>
      <w14:ligatures w14:val="none"/>
    </w:rPr>
  </w:style>
  <w:style w:type="paragraph" w:customStyle="1" w:styleId="p2">
    <w:name w:val="p2"/>
    <w:basedOn w:val="Normal"/>
    <w:rsid w:val="00EF069A"/>
    <w:pPr>
      <w:spacing w:after="0" w:line="240" w:lineRule="auto"/>
      <w:ind w:left="0" w:right="0" w:firstLine="0"/>
      <w:jc w:val="left"/>
    </w:pPr>
    <w:rPr>
      <w:rFonts w:ascii=".AppleSystemUIFont" w:eastAsiaTheme="minorEastAsia" w:hAnsi=".AppleSystemUIFont"/>
      <w:color w:val="auto"/>
      <w:kern w:val="0"/>
      <w:sz w:val="26"/>
      <w:szCs w:val="26"/>
      <w14:ligatures w14:val="none"/>
    </w:rPr>
  </w:style>
  <w:style w:type="character" w:customStyle="1" w:styleId="s1">
    <w:name w:val="s1"/>
    <w:basedOn w:val="DefaultParagraphFont"/>
    <w:rsid w:val="00EF069A"/>
    <w:rPr>
      <w:rFonts w:ascii="UICTFontTextStyleEmphasizedBody" w:hAnsi="UICTFontTextStyleEmphasizedBody" w:hint="default"/>
      <w:b/>
      <w:bCs/>
      <w:i w:val="0"/>
      <w:iCs w:val="0"/>
      <w:sz w:val="26"/>
      <w:szCs w:val="26"/>
    </w:rPr>
  </w:style>
  <w:style w:type="character" w:customStyle="1" w:styleId="s2">
    <w:name w:val="s2"/>
    <w:basedOn w:val="DefaultParagraphFont"/>
    <w:rsid w:val="00EF069A"/>
    <w:rPr>
      <w:rFonts w:ascii="UICTFontTextStyleBody" w:hAnsi="UICTFontTextStyleBody" w:hint="default"/>
      <w:b w:val="0"/>
      <w:bCs w:val="0"/>
      <w:i w:val="0"/>
      <w:iCs w:val="0"/>
      <w:sz w:val="26"/>
      <w:szCs w:val="26"/>
    </w:rPr>
  </w:style>
  <w:style w:type="paragraph" w:customStyle="1" w:styleId="li1">
    <w:name w:val="li1"/>
    <w:basedOn w:val="Normal"/>
    <w:rsid w:val="00EF069A"/>
    <w:pPr>
      <w:spacing w:after="0" w:line="240" w:lineRule="auto"/>
      <w:ind w:left="0" w:right="0" w:firstLine="0"/>
      <w:jc w:val="left"/>
    </w:pPr>
    <w:rPr>
      <w:rFonts w:ascii=".AppleSystemUIFont" w:eastAsiaTheme="minorEastAsia" w:hAnsi=".AppleSystemUIFont"/>
      <w:color w:val="auto"/>
      <w:kern w:val="0"/>
      <w:sz w:val="26"/>
      <w:szCs w:val="26"/>
      <w14:ligatures w14:val="none"/>
    </w:rPr>
  </w:style>
  <w:style w:type="paragraph" w:customStyle="1" w:styleId="s21">
    <w:name w:val="s21"/>
    <w:basedOn w:val="Normal"/>
    <w:rsid w:val="0041761D"/>
    <w:pPr>
      <w:spacing w:before="100" w:beforeAutospacing="1" w:after="100" w:afterAutospacing="1" w:line="240" w:lineRule="auto"/>
      <w:ind w:left="0" w:right="0" w:firstLine="0"/>
      <w:jc w:val="left"/>
    </w:pPr>
    <w:rPr>
      <w:rFonts w:eastAsiaTheme="minorEastAsia"/>
      <w:color w:val="auto"/>
      <w:kern w:val="0"/>
      <w:sz w:val="24"/>
      <w:szCs w:val="24"/>
      <w14:ligatures w14:val="none"/>
    </w:rPr>
  </w:style>
  <w:style w:type="character" w:customStyle="1" w:styleId="bumpedfont15">
    <w:name w:val="bumpedfont15"/>
    <w:basedOn w:val="DefaultParagraphFont"/>
    <w:rsid w:val="0041761D"/>
  </w:style>
  <w:style w:type="character" w:styleId="Hyperlink">
    <w:name w:val="Hyperlink"/>
    <w:basedOn w:val="DefaultParagraphFont"/>
    <w:uiPriority w:val="99"/>
    <w:unhideWhenUsed/>
    <w:rsid w:val="0041761D"/>
    <w:rPr>
      <w:color w:val="0563C1" w:themeColor="hyperlink"/>
      <w:u w:val="single"/>
    </w:rPr>
  </w:style>
  <w:style w:type="character" w:styleId="UnresolvedMention">
    <w:name w:val="Unresolved Mention"/>
    <w:basedOn w:val="DefaultParagraphFont"/>
    <w:uiPriority w:val="99"/>
    <w:semiHidden/>
    <w:unhideWhenUsed/>
    <w:rsid w:val="004176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judiciary.mw/node/802"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336</Words>
  <Characters>1848</Characters>
  <Application>Microsoft Office Word</Application>
  <DocSecurity>0</DocSecurity>
  <Lines>52</Lines>
  <Paragraphs>22</Paragraphs>
  <ScaleCrop>false</ScaleCrop>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Ruth Mputeni</cp:lastModifiedBy>
  <cp:revision>3</cp:revision>
  <dcterms:created xsi:type="dcterms:W3CDTF">2025-09-23T18:41:00Z</dcterms:created>
  <dcterms:modified xsi:type="dcterms:W3CDTF">2025-09-24T05:09:00Z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4750b959-c14f-426b-b907-e17eb1713e4e</vt:lpwstr>
  </property>
</Properties>
</file>